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  <w:rPr>
          <w:sz w:val="28"/>
          <w:szCs w:val="28"/>
        </w:rPr>
      </w:pPr>
      <w:r>
        <w:rPr>
          <w:spacing w:val="-2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-720090</wp:posOffset>
                </wp:positionV>
                <wp:extent cx="7591425" cy="10729929"/>
                <wp:effectExtent l="0" t="0" r="0" b="0"/>
                <wp:wrapTopAndBottom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67529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7591424" cy="10729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048;o:allowoverlap:true;o:allowincell:true;mso-position-horizontal-relative:text;margin-left:-85.05pt;mso-position-horizontal:absolute;mso-position-vertical-relative:text;margin-top:-56.70pt;mso-position-vertical:absolute;width:597.75pt;height:844.88pt;mso-wrap-distance-left:9.07pt;mso-wrap-distance-top:0.00pt;mso-wrap-distance-right:9.07pt;mso-wrap-distance-bottom:0.00pt;" stroked="false">
                <v:path textboxrect="0,0,0,0"/>
                <w10:wrap type="topAndBottom"/>
                <v:imagedata r:id="rId8" o:title=""/>
              </v:shape>
            </w:pict>
          </mc:Fallback>
        </mc:AlternateContent>
      </w:r>
      <w:r>
        <w:rPr>
          <w:spacing w:val="-2"/>
          <w:sz w:val="28"/>
          <w:szCs w:val="28"/>
          <w:highlight w:val="none"/>
        </w:rPr>
      </w:r>
      <w:r>
        <w:rPr>
          <w:spacing w:val="-2"/>
          <w:sz w:val="28"/>
          <w:szCs w:val="28"/>
          <w:highlight w:val="none"/>
        </w:rPr>
      </w:r>
    </w:p>
    <w:p>
      <w:pPr>
        <w:jc w:val="center"/>
        <w:spacing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I. Общие положения.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1.1. Положение об учете отдельных категорий несовершеннолетних в организациях обще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1.2. Основной целью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1.3. Основными задачами учета отдельных категорий несовершеннолетних в образовательных организациях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обеспечение анализа информации о несовершеннолетних, подлежащих учету;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определение оснований и приоритетных направлений плановой работы по профилактике и индивидуальной профилактической работе;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обеспечение контроля и оценки эффективности деятельности по профилактике и индивидуальной профилактической работе.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туса и проводимой с ними 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1.6. Ведение учета, а также формирование наблюдательных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1.7. Контроль за ведением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П. Категории несовершеннолетних, подлежащих учету в организациях общего и профессионального образования.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Красная зона — зона высокого риска, к ней отнесены следующие категории: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несовершеннолетние, состоящие на профилактическом учете в ПДН территориальных ОВД Республики Татарстан;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несовершеннолетние, проявляющие признаки девиантного, деструктивного поведения, аутоагрессии;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несовершеннолетние, участвующие в неформальных объединениях и организациях антиобщественной направленности;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 сторонники движения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скулшутинг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колумбайн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несовершеннол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етние, занимающиеся «травлей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Желтая зона — зона повышенного риска, к ней отнесены следующие категории: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несовершеннолетние,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непосещающие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систематически пропускающие занятия без уважительных причин (суммарно 15 дней);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несовершеннолетние, находящиеся в социально-опасном положении: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безнадзорность или беспризорность;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бродяжничество или попрошайничество;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несовершеннолетние, не имеющие гражданства, проживающие в семьях беженцев, переселенцев;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несовершеннолетние, проживающие в семьях безработных родителей;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несовершеннолетние, систематиче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несо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центрах для несовершеннолетних, социальных приютах, центрах помощи детям, оставшимся без попечения родителей, специальных учебно-вос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питательных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несовершенно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летние, подвергшиеся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травле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 несовершеннолетнее, попавшие в «группу риска» по результатам социально-психологического тестирования и мониторинга без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опасности образовательной среды;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несовершеннолетние, подвергшиеся сексуальному насилию;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несовершеннолетние, прибывшие из зон боевых действий.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Зеленая зона — зона умеренного риска, к ней отнесены следующие категории: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несовершеннолетние, неуспевающие по учебным предметам;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общежитиях, либо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 близких родственников без оформления временной опеки;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несовершеннолетние, проживающие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неполной семье,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мачехой или отчимом;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 из малообеспеченных семей;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дети-сироты, находящиеся под опекой;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дети-сироты, воспитывающиеся в замещающих семьях;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несовершеннолетние, воспитывающиеся в государственных учреждениях;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несовершеннолетние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проживающие в приемных семьях;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несовершеннолетние, отказавшиеся проходить социально-психологическое тестирование и мониторинг без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опасности образовательной среды;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11.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есовершеннолетние, родители (законные представители) которых являют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 ветеранами (участниками) СВО или погибшими/пропавшими без вести на зоне проведения СВО.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 III. Основания для учета несовершеннолетних в образовательных организациях.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3.1. Учет включает осуществление обработки (получение, сбор, запись, систематизация, накопление, хранение, уточнение (обновление, изменение), использован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IV. Порядок учета несовершеннолетних в образовательных организациях.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организации «О постановке на учет»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4.2. В случае поступления в образовательную организацию информации о выявлении несовершеннолетних, указанных в Положении, в случае непосре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результатам рассмотрения указанного представления может быть вынесено одно из следующих решений: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(красная и желтая зоны)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нецелесообраз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ности учета несовершеннолетнего.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родителей (законных представителей) несовершеннолетнего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(красная и желтая зоны)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территориальной (муниципальной) комиссии по делам несовершеннолетних и защите их прав;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иных органов и учреждений системы профилактики (при выявлении необходимости организации взаимодействия).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4.4. В отношении несовершеннолетних, указанных в Положении, индивидуальная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алгоритм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(Приложение 3).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4.6. В отношении несовершеннолетних, подлежащих учету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зеленой зоне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ельной организации,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классным руководителем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формируется дневник наблюдения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дневнику наблюдения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несовершеннолетнего приобщаются: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документы, содержащие сведения, послужившие основанием для учета несовершеннолетнего;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справка об установочных данных несовершеннолетнего;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акты обследования условий жизни несовершеннолетнего;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 динамике успеваемости несовершеннолетнего в течение учебного периода;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 пропусках учебных занятий обучающимся в течение учебного периода (с указанием причин отсутствия);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(при наличии)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 несовершеннолетним 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об организации воспитательно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работы, общественно-полезной,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ультурно-досуговой деятельности, кружковой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иные документы, необходимые для организации работы с несовершеннолетним.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4.7</w:t>
      </w:r>
      <w:r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>
        <w:rPr>
          <w:rFonts w:ascii="Times New Roman" w:hAnsi="Times New Roman" w:cs="Times New Roman"/>
          <w:sz w:val="28"/>
          <w:szCs w:val="28"/>
        </w:rPr>
        <w:t xml:space="preserve">формируются наблюдательные дела. К наблюдательному делу несовершеннолетнего приобщаются: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документы, содержащие сведения, послужившие основанием для учета несовершеннолетнего;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сведения об информировании родителей (законных представителей) несовершеннолетнего о постановке его на учет;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справка об установочных данных несовершеннолетнего;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акт о закреплении куратора за обучающимся несовершеннолетним;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акты обследования условий жизни несовершеннолетнего;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сведения о динамике успеваемости несовершеннолетнего в течение учебного периода;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пропусках учебных занятий обучающимся в течение учебного периода (с указанием причин отсутствия);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индивидуальный маршрут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/социализации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>
        <w:rPr>
          <w:rFonts w:ascii="Times New Roman" w:hAnsi="Times New Roman" w:cs="Times New Roman"/>
          <w:sz w:val="28"/>
          <w:szCs w:val="28"/>
        </w:rPr>
        <w:t xml:space="preserve">социальному педагогу, педагогам по работе с несовершеннолетним;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</w:t>
      </w:r>
      <w:r>
        <w:rPr>
          <w:rFonts w:ascii="Times New Roman" w:hAnsi="Times New Roman" w:cs="Times New Roman"/>
          <w:sz w:val="28"/>
          <w:szCs w:val="28"/>
        </w:rPr>
        <w:t xml:space="preserve">им работы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сведения об организации воспитательной работы, общественно-полезной, культур</w:t>
      </w:r>
      <w:r>
        <w:rPr>
          <w:rFonts w:ascii="Times New Roman" w:hAnsi="Times New Roman" w:cs="Times New Roman"/>
          <w:sz w:val="28"/>
          <w:szCs w:val="28"/>
        </w:rPr>
        <w:t xml:space="preserve">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иные документы, необходимые для организации работы с несовершеннолетним.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V. Индивидуальные маршруты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сопровождения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для несовершеннолетних, состоящих на учете.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ете в соответствии с Положением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ального образования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предусмотрены варианты программ реабилитации: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красной зоны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желтой зоны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сопровождения 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 (Приложение 1);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несовершеннолетних, состоящих в желтой зоне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ричине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социализации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№ 2 (Приложение 2);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зеленой зоны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дневник наблюдения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VI. Основания прекращения учета несовершеннолетних в образовательных организациях.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образовательной организации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а) прекращение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образовательных отношений между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несовершеннолетним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образовательной организацией;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б) достижение восемнадцатилетнего возраста;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в) устранение причин и условий, ставших основаниями для учета, положительная динамика поведения, в связи с улучшением ситуации.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6.3. В отношении несовершеннолетних, указанных в Положении, учет прекращается по мотивированному представлению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заместителя директора по воспитательной работе,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социального педагога, классного руководителя, педагога-психолога,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советника директора по воспитанию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результатам рассмотрения представления о прекращении учета несовершеннолетнего может быть принято одно из следующих решений: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прекращении учета;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смене зоны учета несовершеннолетнего;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 отказе в прекращении учета.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3"/>
    <w:link w:val="675"/>
    <w:uiPriority w:val="10"/>
    <w:rPr>
      <w:sz w:val="48"/>
      <w:szCs w:val="48"/>
    </w:rPr>
  </w:style>
  <w:style w:type="character" w:styleId="37">
    <w:name w:val="Subtitle Char"/>
    <w:basedOn w:val="663"/>
    <w:link w:val="677"/>
    <w:uiPriority w:val="11"/>
    <w:rPr>
      <w:sz w:val="24"/>
      <w:szCs w:val="24"/>
    </w:rPr>
  </w:style>
  <w:style w:type="character" w:styleId="39">
    <w:name w:val="Quote Char"/>
    <w:link w:val="679"/>
    <w:uiPriority w:val="29"/>
    <w:rPr>
      <w:i/>
    </w:rPr>
  </w:style>
  <w:style w:type="character" w:styleId="41">
    <w:name w:val="Intense Quote Char"/>
    <w:link w:val="681"/>
    <w:uiPriority w:val="30"/>
    <w:rPr>
      <w:i/>
    </w:rPr>
  </w:style>
  <w:style w:type="character" w:styleId="43">
    <w:name w:val="Header Char"/>
    <w:basedOn w:val="663"/>
    <w:link w:val="683"/>
    <w:uiPriority w:val="99"/>
  </w:style>
  <w:style w:type="character" w:styleId="47">
    <w:name w:val="Caption Char"/>
    <w:basedOn w:val="663"/>
    <w:link w:val="687"/>
    <w:uiPriority w:val="35"/>
    <w:rPr>
      <w:b/>
      <w:bCs/>
      <w:color w:val="4f81bd" w:themeColor="accent1"/>
      <w:sz w:val="18"/>
      <w:szCs w:val="18"/>
    </w:rPr>
  </w:style>
  <w:style w:type="character" w:styleId="176">
    <w:name w:val="Footnote Text Char"/>
    <w:link w:val="816"/>
    <w:uiPriority w:val="99"/>
    <w:rPr>
      <w:sz w:val="18"/>
    </w:rPr>
  </w:style>
  <w:style w:type="character" w:styleId="179">
    <w:name w:val="Endnote Text Char"/>
    <w:link w:val="819"/>
    <w:uiPriority w:val="99"/>
    <w:rPr>
      <w:sz w:val="20"/>
    </w:rPr>
  </w:style>
  <w:style w:type="paragraph" w:styleId="653" w:default="1">
    <w:name w:val="Normal"/>
    <w:qFormat/>
  </w:style>
  <w:style w:type="paragraph" w:styleId="654">
    <w:name w:val="Heading 1"/>
    <w:basedOn w:val="653"/>
    <w:next w:val="653"/>
    <w:link w:val="666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5">
    <w:name w:val="Heading 2"/>
    <w:basedOn w:val="653"/>
    <w:next w:val="653"/>
    <w:link w:val="667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6">
    <w:name w:val="Heading 3"/>
    <w:basedOn w:val="653"/>
    <w:next w:val="653"/>
    <w:link w:val="668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7">
    <w:name w:val="Heading 4"/>
    <w:basedOn w:val="653"/>
    <w:next w:val="653"/>
    <w:link w:val="669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8">
    <w:name w:val="Heading 5"/>
    <w:basedOn w:val="653"/>
    <w:next w:val="653"/>
    <w:link w:val="670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653"/>
    <w:next w:val="653"/>
    <w:link w:val="671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semiHidden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653"/>
    <w:next w:val="653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link w:val="675"/>
    <w:uiPriority w:val="10"/>
    <w:rPr>
      <w:sz w:val="48"/>
      <w:szCs w:val="48"/>
    </w:rPr>
  </w:style>
  <w:style w:type="paragraph" w:styleId="677">
    <w:name w:val="Subtitle"/>
    <w:basedOn w:val="653"/>
    <w:next w:val="653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link w:val="677"/>
    <w:uiPriority w:val="11"/>
    <w:rPr>
      <w:sz w:val="24"/>
      <w:szCs w:val="24"/>
    </w:rPr>
  </w:style>
  <w:style w:type="paragraph" w:styleId="679">
    <w:name w:val="Quote"/>
    <w:basedOn w:val="653"/>
    <w:next w:val="653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53"/>
    <w:next w:val="653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paragraph" w:styleId="683">
    <w:name w:val="Header"/>
    <w:basedOn w:val="65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Верхний колонтитул Знак"/>
    <w:link w:val="683"/>
    <w:uiPriority w:val="99"/>
  </w:style>
  <w:style w:type="paragraph" w:styleId="685">
    <w:name w:val="Footer"/>
    <w:basedOn w:val="65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 w:customStyle="1">
    <w:name w:val="Footer Char"/>
    <w:uiPriority w:val="99"/>
  </w:style>
  <w:style w:type="paragraph" w:styleId="687">
    <w:name w:val="Caption"/>
    <w:basedOn w:val="653"/>
    <w:next w:val="653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8" w:customStyle="1">
    <w:name w:val="Нижний колонтитул Знак"/>
    <w:link w:val="685"/>
    <w:uiPriority w:val="99"/>
  </w:style>
  <w:style w:type="table" w:styleId="689">
    <w:name w:val="Table Grid"/>
    <w:basedOn w:val="664"/>
    <w:uiPriority w:val="59"/>
    <w:qFormat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 w:customStyle="1">
    <w:name w:val="Table Grid Light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 w:customStyle="1">
    <w:name w:val="Plain Table 1"/>
    <w:basedOn w:val="66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 w:customStyle="1">
    <w:name w:val="Plain Table 2"/>
    <w:basedOn w:val="6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 w:customStyle="1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 w:customStyle="1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9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0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1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2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3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4" w:customStyle="1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2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3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4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5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6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7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8" w:customStyle="1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9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0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1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2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3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4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45" w:customStyle="1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9" w:customStyle="1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1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2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3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4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5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6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7" w:customStyle="1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5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6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7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8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9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0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1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2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3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4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5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6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7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8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9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0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1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2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3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4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563c1" w:themeColor="hyperlink"/>
      <w:u w:val="single"/>
    </w:rPr>
  </w:style>
  <w:style w:type="paragraph" w:styleId="816">
    <w:name w:val="footnote text"/>
    <w:basedOn w:val="65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65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653"/>
    <w:next w:val="653"/>
    <w:uiPriority w:val="39"/>
    <w:unhideWhenUsed/>
    <w:pPr>
      <w:spacing w:after="57"/>
    </w:pPr>
  </w:style>
  <w:style w:type="paragraph" w:styleId="823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4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5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6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7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28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29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30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53"/>
    <w:next w:val="653"/>
    <w:uiPriority w:val="99"/>
    <w:unhideWhenUsed/>
    <w:pPr>
      <w:spacing w:after="0"/>
    </w:pPr>
  </w:style>
  <w:style w:type="paragraph" w:styleId="833">
    <w:name w:val="No Spacing"/>
    <w:basedOn w:val="653"/>
    <w:uiPriority w:val="1"/>
    <w:qFormat/>
    <w:pPr>
      <w:spacing w:after="0" w:line="240" w:lineRule="auto"/>
    </w:pPr>
  </w:style>
  <w:style w:type="paragraph" w:styleId="834">
    <w:name w:val="List Paragraph"/>
    <w:basedOn w:val="653"/>
    <w:uiPriority w:val="34"/>
    <w:qFormat/>
    <w:pPr>
      <w:contextualSpacing/>
      <w:ind w:left="720"/>
    </w:pPr>
  </w:style>
  <w:style w:type="paragraph" w:styleId="835" w:customStyle="1">
    <w:name w:val="Основной текст1"/>
    <w:uiPriority w:val="1"/>
    <w:qFormat/>
    <w:pPr>
      <w:jc w:val="both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5"/>
      <w:szCs w:val="25"/>
    </w:rPr>
  </w:style>
  <w:style w:type="paragraph" w:styleId="836">
    <w:name w:val="Balloon Text"/>
    <w:basedOn w:val="653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663"/>
    <w:link w:val="83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Нурлатская гимназия</cp:lastModifiedBy>
  <cp:revision>5</cp:revision>
  <dcterms:created xsi:type="dcterms:W3CDTF">2025-09-25T20:32:00Z</dcterms:created>
  <dcterms:modified xsi:type="dcterms:W3CDTF">2025-11-18T06:42:38Z</dcterms:modified>
</cp:coreProperties>
</file>